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8yxxinzi8s1r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can high output still feel unproductive?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output measures activity, not effectiveness, clarity, or decision quality.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volume-based metrics fail in knowledge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ignore decision density, where a single clear decision can outweigh many completed tasks.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a sign that productivity metrics need to change?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Feeling mentally drained, rushed, or unsure about results despite high activity.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are qualitative productivity indicators?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include clarity of next steps, ease of execution, confidence in decisions, and reduced friction.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